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</w:p>
    <w:tbl>
      <w:tblPr>
        <w:tblStyle w:val="3"/>
        <w:tblW w:w="14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1486"/>
        <w:gridCol w:w="2646"/>
        <w:gridCol w:w="1227"/>
        <w:gridCol w:w="1323"/>
        <w:gridCol w:w="2209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444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bookmarkStart w:id="0" w:name="_GoBack"/>
            <w:bookmarkEnd w:id="0"/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遂宁市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</w:rPr>
              <w:t>船山区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市场监管局工作组分工及联系人名单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牵头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室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牵头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室联系人、方式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牵头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室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分管领导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牵头任务序号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对应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级工作组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牵头单位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法宣股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（一）优化政务环境工作组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法宣股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杨柳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412119899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张翼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区行政审批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局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杨柳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412119899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（二）优化建设经营环境工作组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知识产权与标计股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李江龙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773668374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杨进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住建局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（三）优化融资环境工作组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交易秩序股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银涌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2931293646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杨进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区财政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局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（四）优化税收服务环境工作组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交易秩序股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银涌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2931293646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杨进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税务局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（五）优化人力资源环境工作组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信用监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督股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郑彩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87690339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张翼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人社局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（六）优化信用环境工作组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知识产权与标计股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李江龙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773668374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杨进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发改委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（七）优化法治环境工作组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知识产权与标计股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李江龙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773668374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杨进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政法委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（八）优化亲商爱商环境工作组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特种设备股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刘强明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2188377949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伍利国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经信局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效能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作风保障组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综合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公室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但华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904970071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陈寒梅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纪委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监委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调研组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综合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公室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但华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904970071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陈寒梅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办</w:t>
            </w:r>
          </w:p>
        </w:tc>
        <w:tc>
          <w:tcPr>
            <w:tcW w:w="2328" w:type="dxa"/>
            <w:vMerge w:val="continue"/>
            <w:tcBorders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2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宣传组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法宣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股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何武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603022143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张翼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 w:bidi="ar"/>
              </w:rPr>
              <w:t>区委宣传部</w:t>
            </w:r>
          </w:p>
        </w:tc>
        <w:tc>
          <w:tcPr>
            <w:tcW w:w="2328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440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2CE4"/>
    <w:rsid w:val="1B1F5B12"/>
    <w:rsid w:val="2B682CE4"/>
    <w:rsid w:val="3E4A7A10"/>
    <w:rsid w:val="698B70B4"/>
    <w:rsid w:val="6F521CCF"/>
    <w:rsid w:val="75A671AD"/>
    <w:rsid w:val="7DE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2020-05-12T02:34:00Z</dcterms:created>
  <dc:creator>Administrator</dc:creator>
  <cp:lastModifiedBy>云中漫步</cp:lastModifiedBy>
  <cp:lastPrinted>2020-05-13T01:35:15Z</cp:lastPrinted>
  <dcterms:modified xsi:type="dcterms:W3CDTF">2020-05-13T01:36:43Z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